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1"/>
        <w:spacing w:lineRule="auto" w:line="276" w:before="0" w:after="0"/>
        <w:jc w:val="right"/>
        <w:rPr>
          <w:rFonts w:ascii="Times New Roman" w:hAnsi="Times New Roman"/>
          <w:sz w:val="20"/>
          <w:szCs w:val="20"/>
        </w:rPr>
      </w:pPr>
      <w:r>
        <w:rPr>
          <w:rFonts w:ascii="Times New Roman" w:hAnsi="Times New Roman"/>
          <w:sz w:val="20"/>
          <w:szCs w:val="20"/>
        </w:rPr>
        <w:t xml:space="preserve"> </w:t>
      </w:r>
    </w:p>
    <w:p>
      <w:pPr>
        <w:pStyle w:val="Normal1"/>
        <w:spacing w:lineRule="auto" w:line="276" w:before="0" w:after="0"/>
        <w:jc w:val="center"/>
        <w:rPr>
          <w:rFonts w:ascii="Times New Roman" w:hAnsi="Times New Roman"/>
          <w:b/>
          <w:b/>
          <w:bCs/>
          <w:sz w:val="28"/>
          <w:szCs w:val="28"/>
        </w:rPr>
      </w:pPr>
      <w:r>
        <w:rPr>
          <w:rFonts w:ascii="Times New Roman" w:hAnsi="Times New Roman"/>
          <w:b/>
          <w:bCs/>
          <w:sz w:val="28"/>
          <w:szCs w:val="28"/>
        </w:rPr>
      </w:r>
    </w:p>
    <w:p>
      <w:pPr>
        <w:pStyle w:val="Normal1"/>
        <w:spacing w:lineRule="auto" w:line="276" w:before="0" w:after="0"/>
        <w:jc w:val="center"/>
        <w:rPr>
          <w:rFonts w:ascii="Times New Roman" w:hAnsi="Times New Roman"/>
          <w:b/>
          <w:b/>
          <w:bCs/>
          <w:sz w:val="28"/>
          <w:szCs w:val="28"/>
        </w:rPr>
      </w:pPr>
      <w:r>
        <w:rPr>
          <w:rFonts w:ascii="Times New Roman" w:hAnsi="Times New Roman"/>
          <w:b/>
          <w:bCs/>
          <w:sz w:val="28"/>
          <w:szCs w:val="28"/>
        </w:rPr>
        <w:t>Langue et culture : l’enjeu des jeux</w:t>
      </w:r>
    </w:p>
    <w:p>
      <w:pPr>
        <w:pStyle w:val="Normal1"/>
        <w:spacing w:lineRule="auto" w:line="276" w:before="0" w:after="0"/>
        <w:jc w:val="center"/>
        <w:rPr>
          <w:rFonts w:ascii="Times New Roman" w:hAnsi="Times New Roman"/>
          <w:b/>
          <w:b/>
          <w:bCs/>
          <w:sz w:val="28"/>
          <w:szCs w:val="28"/>
        </w:rPr>
      </w:pPr>
      <w:r>
        <w:rPr>
          <w:rFonts w:ascii="Times New Roman" w:hAnsi="Times New Roman"/>
          <w:b/>
          <w:bCs/>
          <w:sz w:val="28"/>
          <w:szCs w:val="28"/>
        </w:rPr>
      </w:r>
    </w:p>
    <w:p>
      <w:pPr>
        <w:pStyle w:val="Normal1"/>
        <w:spacing w:lineRule="auto" w:line="276" w:before="0" w:after="0"/>
        <w:jc w:val="both"/>
        <w:rPr/>
      </w:pPr>
      <w:r>
        <w:rPr>
          <w:rStyle w:val="Policepardfaut"/>
          <w:rFonts w:ascii="Times New Roman" w:hAnsi="Times New Roman"/>
          <w:sz w:val="24"/>
          <w:szCs w:val="24"/>
        </w:rPr>
        <w:t xml:space="preserve">Le colloque d’octobre 2021 de l’association </w:t>
      </w:r>
      <w:r>
        <w:rPr>
          <w:rStyle w:val="Policepardfaut"/>
          <w:rFonts w:ascii="Times New Roman" w:hAnsi="Times New Roman"/>
          <w:i/>
          <w:iCs/>
          <w:sz w:val="24"/>
          <w:szCs w:val="24"/>
        </w:rPr>
        <w:t xml:space="preserve">Initiales </w:t>
      </w:r>
      <w:r>
        <w:rPr>
          <w:rStyle w:val="Policepardfaut"/>
          <w:rFonts w:ascii="Times New Roman" w:hAnsi="Times New Roman"/>
          <w:sz w:val="24"/>
          <w:szCs w:val="24"/>
        </w:rPr>
        <w:t>était consacré à une analyse et à des réflexions sur la place du jeu dans l’accès à la langue tant pour des populations allophones qu’en situations d’illettrisme. Le jeu étant considéré à la fois comme élément de culture et comme un outil d’éducation. Les diverses interventions démontrèrent qu’il en était ainsi. Je me contenterai, renvoyant aux diverses contributions de ses actes d’en souligner quelques points saillants et de proposer au hasard de mon savoir et des réflexions issues de ce colloque d’une grande richesse, quelques ouvertures pédagogiques ou sociétales. A l’écoute des propos tenus je les ai regroupés autour de trois axes : pédagogique, [psycho]sociologique, socio-politique.</w:t>
      </w:r>
    </w:p>
    <w:p>
      <w:pPr>
        <w:pStyle w:val="Normal1"/>
        <w:spacing w:lineRule="auto" w:line="276" w:before="0" w:after="0"/>
        <w:jc w:val="both"/>
        <w:rPr>
          <w:rFonts w:ascii="Times New Roman" w:hAnsi="Times New Roman"/>
          <w:sz w:val="24"/>
          <w:szCs w:val="24"/>
        </w:rPr>
      </w:pPr>
      <w:r>
        <w:rPr>
          <w:rFonts w:ascii="Times New Roman" w:hAnsi="Times New Roman"/>
          <w:sz w:val="24"/>
          <w:szCs w:val="24"/>
        </w:rPr>
        <w:t>A noter que cette année la dimension pédagogique, toujours présente, a été particulièrement riche d’autant plus que les participants furent conviés à deux ateliers pratiques illustrant les possibilités d’apprentissages dans un espace-temps ludique.</w:t>
      </w:r>
    </w:p>
    <w:p>
      <w:pPr>
        <w:pStyle w:val="Normal1"/>
        <w:spacing w:lineRule="auto" w:line="276" w:before="0" w:after="0"/>
        <w:jc w:val="both"/>
        <w:rPr>
          <w:rFonts w:ascii="Times New Roman" w:hAnsi="Times New Roman"/>
          <w:sz w:val="24"/>
          <w:szCs w:val="24"/>
        </w:rPr>
      </w:pPr>
      <w:r>
        <w:rPr>
          <w:rFonts w:ascii="Times New Roman" w:hAnsi="Times New Roman"/>
          <w:sz w:val="24"/>
          <w:szCs w:val="24"/>
        </w:rPr>
      </w:r>
    </w:p>
    <w:p>
      <w:pPr>
        <w:pStyle w:val="Normal1"/>
        <w:spacing w:lineRule="auto" w:line="276" w:before="0" w:after="0"/>
        <w:jc w:val="both"/>
        <w:rPr>
          <w:rFonts w:ascii="Times New Roman" w:hAnsi="Times New Roman"/>
          <w:b/>
          <w:b/>
          <w:bCs/>
          <w:sz w:val="24"/>
          <w:szCs w:val="24"/>
        </w:rPr>
      </w:pPr>
      <w:r>
        <w:rPr>
          <w:rFonts w:ascii="Times New Roman" w:hAnsi="Times New Roman"/>
          <w:b/>
          <w:bCs/>
          <w:sz w:val="24"/>
          <w:szCs w:val="24"/>
        </w:rPr>
      </w:r>
    </w:p>
    <w:p>
      <w:pPr>
        <w:pStyle w:val="Normal1"/>
        <w:spacing w:lineRule="auto" w:line="276" w:before="0" w:after="0"/>
        <w:jc w:val="both"/>
        <w:rPr>
          <w:rFonts w:ascii="Times New Roman" w:hAnsi="Times New Roman"/>
          <w:b/>
          <w:b/>
          <w:bCs/>
          <w:sz w:val="24"/>
          <w:szCs w:val="24"/>
        </w:rPr>
      </w:pPr>
      <w:r>
        <w:rPr>
          <w:rFonts w:ascii="Times New Roman" w:hAnsi="Times New Roman"/>
          <w:b/>
          <w:bCs/>
          <w:sz w:val="24"/>
          <w:szCs w:val="24"/>
        </w:rPr>
        <w:t>Une dimension pédagogique affirmée</w:t>
      </w:r>
    </w:p>
    <w:p>
      <w:pPr>
        <w:pStyle w:val="Normal1"/>
        <w:spacing w:lineRule="auto" w:line="276" w:before="0" w:after="0"/>
        <w:jc w:val="both"/>
        <w:rPr>
          <w:rFonts w:ascii="Times New Roman" w:hAnsi="Times New Roman"/>
          <w:sz w:val="24"/>
          <w:szCs w:val="24"/>
        </w:rPr>
      </w:pPr>
      <w:r>
        <w:rPr>
          <w:rFonts w:ascii="Times New Roman" w:hAnsi="Times New Roman"/>
          <w:sz w:val="24"/>
          <w:szCs w:val="24"/>
        </w:rPr>
      </w:r>
    </w:p>
    <w:p>
      <w:pPr>
        <w:pStyle w:val="Normal1"/>
        <w:spacing w:lineRule="auto" w:line="276" w:before="0" w:after="0"/>
        <w:jc w:val="both"/>
        <w:rPr>
          <w:rFonts w:ascii="Times New Roman" w:hAnsi="Times New Roman"/>
          <w:sz w:val="24"/>
          <w:szCs w:val="24"/>
        </w:rPr>
      </w:pPr>
      <w:r>
        <w:rPr>
          <w:rFonts w:ascii="Times New Roman" w:hAnsi="Times New Roman"/>
          <w:sz w:val="24"/>
          <w:szCs w:val="24"/>
        </w:rPr>
        <w:t>Tout d’abord, il fut affirmé avec force et raison que l’usage du jeu en situation d’apprentissage n’est pas une activité pédagogique de second rang, celle que l’on utilise entre deux temps dit « forts » et formels, le plus souvent expositifs afin de relâcher la pression cognitive. Il ne s’agit donc pas seulement un intermède ludique mais bien une occasion de donner sens et résonnance aux apprentissages. Il fut affirmé au contraire que le recours au jeu est une activité « noble » favorisant l’accès au savoir et, ici en particulier, à l’usage écrit ou parlé de la langue.</w:t>
      </w:r>
    </w:p>
    <w:p>
      <w:pPr>
        <w:pStyle w:val="Normal1"/>
        <w:spacing w:lineRule="auto" w:line="276" w:before="0" w:after="0"/>
        <w:jc w:val="both"/>
        <w:rPr/>
      </w:pPr>
      <w:r>
        <w:rPr>
          <w:rStyle w:val="Policepardfaut"/>
          <w:rFonts w:ascii="Times New Roman" w:hAnsi="Times New Roman"/>
          <w:sz w:val="24"/>
          <w:szCs w:val="24"/>
        </w:rPr>
        <w:t xml:space="preserve">Le jeu est </w:t>
      </w:r>
      <w:r>
        <w:rPr>
          <w:rStyle w:val="Policepardfaut"/>
          <w:rFonts w:ascii="Times New Roman" w:hAnsi="Times New Roman"/>
          <w:i/>
          <w:iCs/>
          <w:sz w:val="24"/>
          <w:szCs w:val="24"/>
        </w:rPr>
        <w:t>de facto</w:t>
      </w:r>
      <w:r>
        <w:rPr>
          <w:rStyle w:val="Policepardfaut"/>
          <w:rFonts w:ascii="Times New Roman" w:hAnsi="Times New Roman"/>
          <w:sz w:val="24"/>
          <w:szCs w:val="24"/>
        </w:rPr>
        <w:t xml:space="preserve"> un outil pédagogique qui permet de sortir « la langue de son carcan »</w:t>
      </w:r>
      <w:r>
        <w:rPr>
          <w:rStyle w:val="Appelnotedebasdep"/>
          <w:rStyle w:val="Appelnotedebasdep"/>
          <w:rFonts w:ascii="Times New Roman" w:hAnsi="Times New Roman"/>
          <w:sz w:val="20"/>
          <w:szCs w:val="20"/>
        </w:rPr>
        <w:footnoteReference w:id="2"/>
      </w:r>
      <w:r>
        <w:rPr>
          <w:rStyle w:val="Policepardfaut"/>
          <w:rFonts w:ascii="Times New Roman" w:hAnsi="Times New Roman"/>
          <w:sz w:val="24"/>
          <w:szCs w:val="24"/>
        </w:rPr>
        <w:t>, de s’inventer un monde, d’y être un acteur et d’en choisir les éléments dans le cadre d’une simulation globale respectant la vie et la sensibilité de chacun afin de faciliter l’expression orale de tous. En bref, il s’agit de privilégier « le parler français du monde réel » dans un premier temps pour n’aborder qu’ultérieurement le français académique. De plus, le jeu incite à se déconnecter d’un « réel » qui rend parfois difficile les apprentissages. Il permet de « s’oublier » un temps pour mieux apprendre, mieux s’exprimer à l’oral.</w:t>
      </w:r>
    </w:p>
    <w:p>
      <w:pPr>
        <w:pStyle w:val="Normal1"/>
        <w:spacing w:lineRule="auto" w:line="276" w:before="0" w:after="0"/>
        <w:jc w:val="both"/>
        <w:rPr/>
      </w:pPr>
      <w:r>
        <w:rPr>
          <w:rStyle w:val="Policepardfaut"/>
          <w:rFonts w:ascii="Times New Roman" w:hAnsi="Times New Roman"/>
          <w:sz w:val="24"/>
          <w:szCs w:val="24"/>
        </w:rPr>
        <w:t xml:space="preserve">Oralisation considérée comme incontournable pour mieux appréhender l’écrit dans un second temps. Le jeu est donc une affaire sérieuse, les </w:t>
      </w:r>
      <w:r>
        <w:rPr>
          <w:rStyle w:val="Policepardfaut"/>
          <w:rFonts w:ascii="Times New Roman" w:hAnsi="Times New Roman"/>
          <w:i/>
          <w:iCs/>
          <w:sz w:val="24"/>
          <w:szCs w:val="24"/>
        </w:rPr>
        <w:t xml:space="preserve">games </w:t>
      </w:r>
      <w:r>
        <w:rPr>
          <w:rStyle w:val="Policepardfaut"/>
          <w:rFonts w:ascii="Times New Roman" w:hAnsi="Times New Roman"/>
          <w:sz w:val="24"/>
          <w:szCs w:val="24"/>
        </w:rPr>
        <w:t>s’en revendiquent d’ailleurs ! Ainsi, la « ludification » apparaît aux yeux de certains comme une nécessité et non un gadget pour favoriser les apprentissages d’autant qu’il apparaît selon les mots de Philippe Meirieu comme un « espace hors menace », à condition toutefois à ce que chacun veille, les formateurs en particulier, à la non-psycho-dramatisation des situations ludiques et à un trop grand engagement de soi dans la situation de jeu.</w:t>
      </w:r>
    </w:p>
    <w:p>
      <w:pPr>
        <w:pStyle w:val="Normal1"/>
        <w:spacing w:lineRule="auto" w:line="276" w:before="0" w:after="0"/>
        <w:jc w:val="both"/>
        <w:rPr/>
      </w:pPr>
      <w:r>
        <w:rPr>
          <w:rStyle w:val="Policepardfaut"/>
          <w:rFonts w:ascii="Times New Roman" w:hAnsi="Times New Roman"/>
          <w:sz w:val="24"/>
          <w:szCs w:val="24"/>
        </w:rPr>
        <w:t xml:space="preserve">Partant, les jeux s’inscrivent dans le courant des pédagogies actives et favorisent « l’apprentissage du français en action ». Au-delà du plaisir d’apprendre qu’ils procurent, ils autorisent à l’essai et à l’erreur. En d’autres termes, au tâtonnement expérimental, ici linguistique, théoriser en son temps par Célestin Freinet. De plus, du fait des déplacements physiques qu’ils nécessitent souvent, ils impliquent le mouvement des corps et mobilisent les cinq sens dans les apprentissages. Ils permettent ainsi « l’incorporation » tant de l’oral que l’écrit en créant un lien quasi organique entre le corps, l’oral et l’écrit et l’appareil cognitif. Ils mêlent selon un intervenant « le geste […] aux mots ». Ainsi « construire des lettres » au sens propre, c’est-à-dire matériellement, permet de « s’approprier les graphèmes et de les incorporer », en d’autres termes de les faire siens. Autre dimension pédagogique développée durant le colloque : celle des apprentissages en autonomie grâce soit à la radio (RFI), soit à l’aide d’un </w:t>
      </w:r>
      <w:r>
        <w:rPr>
          <w:rStyle w:val="Policepardfaut"/>
          <w:rFonts w:ascii="Times New Roman" w:hAnsi="Times New Roman"/>
          <w:i/>
          <w:iCs/>
          <w:sz w:val="24"/>
          <w:szCs w:val="24"/>
        </w:rPr>
        <w:t xml:space="preserve">smartphone </w:t>
      </w:r>
      <w:r>
        <w:rPr>
          <w:rStyle w:val="Policepardfaut"/>
          <w:rFonts w:ascii="Times New Roman" w:hAnsi="Times New Roman"/>
          <w:sz w:val="24"/>
          <w:szCs w:val="24"/>
        </w:rPr>
        <w:t xml:space="preserve">et d’une application spécifique favorisant l’accès à la langue et à la culture - toujours au plus proche de la réalité sociale - même dans des situations incertaines que sont, bien souvent, celles des réfugiés et des demandeurs d’asile ou encore des populations les plus précaires. </w:t>
      </w:r>
    </w:p>
    <w:p>
      <w:pPr>
        <w:pStyle w:val="Normal1"/>
        <w:spacing w:lineRule="auto" w:line="276" w:before="0" w:after="0"/>
        <w:jc w:val="both"/>
        <w:rPr/>
      </w:pPr>
      <w:r>
        <w:rPr>
          <w:rStyle w:val="Policepardfaut"/>
          <w:rFonts w:ascii="Times New Roman" w:hAnsi="Times New Roman"/>
          <w:sz w:val="24"/>
          <w:szCs w:val="24"/>
        </w:rPr>
        <w:t xml:space="preserve">Dans les ateliers, il fut entre autres choses, rappelé d’une part les en-jeux impliquant de « travailler toutes les formes de l’oral » des plus savantes aux plus vernaculaires et idiomatiques dans le cadre d’une systématisation de la prise de parole. D’autre part, la nécessaire et incontournable mise en place, suite au jeu, d’un retour réflexif individuel et collectif afin de repérer, nommer, mémoriser, s’approprier les apprentissages et du même coup faire prendre conscience aux apprenants que </w:t>
      </w:r>
      <w:r>
        <w:rPr>
          <w:rStyle w:val="Policepardfaut"/>
          <w:rFonts w:ascii="Times New Roman" w:hAnsi="Times New Roman"/>
          <w:b/>
          <w:bCs/>
          <w:sz w:val="24"/>
          <w:szCs w:val="24"/>
        </w:rPr>
        <w:t>le jeu n’est pas qu’un jeu</w:t>
      </w:r>
      <w:r>
        <w:rPr>
          <w:rStyle w:val="Policepardfaut"/>
          <w:rFonts w:ascii="Times New Roman" w:hAnsi="Times New Roman"/>
          <w:sz w:val="24"/>
          <w:szCs w:val="24"/>
        </w:rPr>
        <w:t xml:space="preserve"> mais aussi un moyen de facilitation dans le processus d’acquisition linguistique.</w:t>
      </w:r>
    </w:p>
    <w:p>
      <w:pPr>
        <w:pStyle w:val="Normal1"/>
        <w:spacing w:lineRule="auto" w:line="276" w:before="0" w:after="0"/>
        <w:jc w:val="both"/>
        <w:rPr>
          <w:rFonts w:ascii="Times New Roman" w:hAnsi="Times New Roman"/>
          <w:sz w:val="24"/>
          <w:szCs w:val="24"/>
        </w:rPr>
      </w:pPr>
      <w:r>
        <w:rPr>
          <w:rFonts w:ascii="Times New Roman" w:hAnsi="Times New Roman"/>
          <w:sz w:val="24"/>
          <w:szCs w:val="24"/>
        </w:rPr>
        <w:t xml:space="preserve">Au cours des interventions et des échanges, il est aussi apparu que la ludopédagogie s’inscrivait bien dans le cadre des pédagogies actives et émancipatrices dans la tradition de Sébastien Faure (éducation de la main et du cerveau), dans celle de Célestin Freinet (activité et tâtonnements…), celle de la tradition de l’Education populaire (création collective et coopérative de poèmes…) voire dans celle d’Albert Bandura (auto-direction, autogestion des apprentissages). </w:t>
      </w:r>
    </w:p>
    <w:p>
      <w:pPr>
        <w:pStyle w:val="Normal1"/>
        <w:spacing w:lineRule="auto" w:line="276" w:before="0" w:after="0"/>
        <w:jc w:val="both"/>
        <w:rPr>
          <w:rFonts w:ascii="Times New Roman" w:hAnsi="Times New Roman"/>
          <w:sz w:val="24"/>
          <w:szCs w:val="24"/>
        </w:rPr>
      </w:pPr>
      <w:r>
        <w:rPr>
          <w:rFonts w:ascii="Times New Roman" w:hAnsi="Times New Roman"/>
          <w:sz w:val="24"/>
          <w:szCs w:val="24"/>
        </w:rPr>
      </w:r>
    </w:p>
    <w:p>
      <w:pPr>
        <w:pStyle w:val="Normal1"/>
        <w:spacing w:lineRule="auto" w:line="276" w:before="0" w:after="0"/>
        <w:jc w:val="both"/>
        <w:rPr>
          <w:rFonts w:ascii="Times New Roman" w:hAnsi="Times New Roman"/>
          <w:b/>
          <w:b/>
          <w:bCs/>
          <w:sz w:val="24"/>
          <w:szCs w:val="24"/>
        </w:rPr>
      </w:pPr>
      <w:r>
        <w:rPr>
          <w:rFonts w:ascii="Times New Roman" w:hAnsi="Times New Roman"/>
          <w:b/>
          <w:bCs/>
          <w:sz w:val="24"/>
          <w:szCs w:val="24"/>
        </w:rPr>
      </w:r>
    </w:p>
    <w:p>
      <w:pPr>
        <w:pStyle w:val="Normal1"/>
        <w:spacing w:lineRule="auto" w:line="276" w:before="0" w:after="0"/>
        <w:jc w:val="both"/>
        <w:rPr>
          <w:rFonts w:ascii="Times New Roman" w:hAnsi="Times New Roman"/>
          <w:b/>
          <w:b/>
          <w:bCs/>
          <w:sz w:val="24"/>
          <w:szCs w:val="24"/>
        </w:rPr>
      </w:pPr>
      <w:r>
        <w:rPr>
          <w:rFonts w:ascii="Times New Roman" w:hAnsi="Times New Roman"/>
          <w:b/>
          <w:bCs/>
          <w:sz w:val="24"/>
          <w:szCs w:val="24"/>
        </w:rPr>
        <w:t>Une dimension sociologique et psychosociologique</w:t>
      </w:r>
    </w:p>
    <w:p>
      <w:pPr>
        <w:pStyle w:val="Normal1"/>
        <w:spacing w:lineRule="auto" w:line="276" w:before="0" w:after="0"/>
        <w:jc w:val="both"/>
        <w:rPr>
          <w:rFonts w:ascii="Times New Roman" w:hAnsi="Times New Roman"/>
          <w:b/>
          <w:b/>
          <w:bCs/>
          <w:sz w:val="24"/>
          <w:szCs w:val="24"/>
        </w:rPr>
      </w:pPr>
      <w:r>
        <w:rPr>
          <w:rFonts w:ascii="Times New Roman" w:hAnsi="Times New Roman"/>
          <w:b/>
          <w:bCs/>
          <w:sz w:val="24"/>
          <w:szCs w:val="24"/>
        </w:rPr>
      </w:r>
    </w:p>
    <w:p>
      <w:pPr>
        <w:pStyle w:val="Normal1"/>
        <w:spacing w:lineRule="auto" w:line="276" w:before="0" w:after="0"/>
        <w:jc w:val="both"/>
        <w:rPr/>
      </w:pPr>
      <w:r>
        <w:rPr>
          <w:rStyle w:val="Policepardfaut"/>
          <w:rFonts w:ascii="Times New Roman" w:hAnsi="Times New Roman"/>
          <w:sz w:val="24"/>
          <w:szCs w:val="24"/>
        </w:rPr>
        <w:t xml:space="preserve">Même si les jeux d’apprentissage peuvent séduire, convaincre et faire adhérer certains,  d’autres vont développer des résistancetant du côté des formateurs que des apprenants pour lesquels « jouer n’est pas apprendre ». Il est essentiel de répondre à la question « pourquoi jouer ? ». En effet, certaines personnes partagent des représentations de « l’école » traditionnelles et attendent ou développent des pratiques traditionnelles dont on connaît depuis longtemps les limites. Il convient donc d’initier les formateurs au jeu d’apprentissage lors de session de formation </w:t>
      </w:r>
      <w:r>
        <w:rPr>
          <w:rStyle w:val="Policepardfaut"/>
          <w:rFonts w:ascii="Times New Roman" w:hAnsi="Times New Roman"/>
          <w:i/>
          <w:iCs/>
          <w:sz w:val="24"/>
          <w:szCs w:val="24"/>
        </w:rPr>
        <w:t>ad hoc</w:t>
      </w:r>
      <w:r>
        <w:rPr>
          <w:rStyle w:val="Policepardfaut"/>
          <w:rFonts w:ascii="Times New Roman" w:hAnsi="Times New Roman"/>
          <w:sz w:val="24"/>
          <w:szCs w:val="24"/>
        </w:rPr>
        <w:t xml:space="preserve"> en leur faisant découvrir par immersion, l’apprendre dans et par le jeu sans omettre d’appliquer la règle évoquée ci-dessus du travail réflexif associé afin de modifier leurs </w:t>
      </w:r>
      <w:r>
        <w:rPr>
          <w:rStyle w:val="Policepardfaut"/>
          <w:rFonts w:ascii="Times New Roman" w:hAnsi="Times New Roman"/>
          <w:i/>
          <w:iCs/>
          <w:sz w:val="24"/>
          <w:szCs w:val="24"/>
        </w:rPr>
        <w:t>a priori</w:t>
      </w:r>
      <w:r>
        <w:rPr>
          <w:rStyle w:val="Policepardfaut"/>
          <w:rFonts w:ascii="Times New Roman" w:hAnsi="Times New Roman"/>
          <w:sz w:val="24"/>
          <w:szCs w:val="24"/>
        </w:rPr>
        <w:t>, leurs certitudes infondées et leurs représentations. Sans oublier de leur apporter quelques éléments théoriques sur les bienfaits des jeux en éducation.</w:t>
      </w:r>
    </w:p>
    <w:p>
      <w:pPr>
        <w:pStyle w:val="Normal1"/>
        <w:spacing w:lineRule="auto" w:line="276" w:before="0" w:after="0"/>
        <w:jc w:val="both"/>
        <w:rPr>
          <w:rFonts w:ascii="Times New Roman" w:hAnsi="Times New Roman"/>
          <w:sz w:val="24"/>
          <w:szCs w:val="24"/>
        </w:rPr>
      </w:pPr>
      <w:r>
        <w:rPr>
          <w:rFonts w:ascii="Times New Roman" w:hAnsi="Times New Roman"/>
          <w:sz w:val="24"/>
          <w:szCs w:val="24"/>
        </w:rPr>
        <w:t xml:space="preserve">Quant aux apprenants, il faut veiller à ne pas les contraindre en amenant les pratiques ludiques petit à petit et, sans doute aussi, d’engager une réflexion sur l’usage et les apports du jeu dans leur propre culture tout en précisant clairement les objectifs d’apprentissage du jeu proposé. Il est aussi important d’adapter certains jeux « classiques » au besoin des apprenants et à leurs niveaux langagiers, tout en restant vigilant à ne pas infantiliser les publics adultes afin d’éviter toute maltraitance symbolique. Enfin, il s’agit de convaincre apprenants et formateurs - porteurs de représentations négatives – que si l’apprentissage représente toujours un effort et une transformation de soi, celui-ci peut aussi être associé au plaisir d’apprendre. </w:t>
      </w:r>
    </w:p>
    <w:p>
      <w:pPr>
        <w:pStyle w:val="Normal1"/>
        <w:spacing w:lineRule="auto" w:line="276" w:before="0" w:after="0"/>
        <w:jc w:val="both"/>
        <w:rPr>
          <w:rFonts w:ascii="Times New Roman" w:hAnsi="Times New Roman"/>
          <w:sz w:val="24"/>
          <w:szCs w:val="24"/>
        </w:rPr>
      </w:pPr>
      <w:r>
        <w:rPr>
          <w:rFonts w:ascii="Times New Roman" w:hAnsi="Times New Roman"/>
          <w:sz w:val="24"/>
          <w:szCs w:val="24"/>
        </w:rPr>
        <w:t>Autre dimension incontournable du jeu, souvent appeler de société, car il permet comme son nom l’indique de faire société, autrement dit de se socialiser. Cet atout des jeux d’apprentissage a été évoqué à plusieurs reprises. Le jeu, au-delà de ses effets d’apprentissage, favorise les débats, les controverses et la découverte des cultures représentées dans les groupes d’apprenants. Il est encore un outil de partage et d’insertion dans la culture d’accueil donc un outil irremplaçable de socialisation aux us et coutumes locales et à l’acceptation de l’altérité. De plus, en termes pédagogiques, il favorise la mise en place d’une dynamique de groupe essentielle au processus apprendre car comme le note Philippe Carré, après Paolo Freire : « on apprend seul, mais jamais sans les autres ». De plus, le jeu apparait comme un ressort essentiel au maintien et/ou au développement de la motivation et de l’engagement en formation. Sans oublier de mentionner qu’au-delà de l’apprentissage d’une langue nouvelle, il encourage à la coopération et à la créativité.</w:t>
      </w:r>
    </w:p>
    <w:p>
      <w:pPr>
        <w:pStyle w:val="Normal1"/>
        <w:spacing w:lineRule="auto" w:line="276" w:before="0" w:after="0"/>
        <w:jc w:val="both"/>
        <w:rPr>
          <w:rFonts w:ascii="Times New Roman" w:hAnsi="Times New Roman"/>
          <w:sz w:val="24"/>
          <w:szCs w:val="24"/>
        </w:rPr>
      </w:pPr>
      <w:r>
        <w:rPr>
          <w:rFonts w:ascii="Times New Roman" w:hAnsi="Times New Roman"/>
          <w:sz w:val="24"/>
          <w:szCs w:val="24"/>
        </w:rPr>
        <w:t xml:space="preserve">  </w:t>
      </w:r>
    </w:p>
    <w:p>
      <w:pPr>
        <w:pStyle w:val="Normal1"/>
        <w:spacing w:lineRule="auto" w:line="276" w:before="0" w:after="0"/>
        <w:jc w:val="both"/>
        <w:rPr>
          <w:rFonts w:ascii="Times New Roman" w:hAnsi="Times New Roman"/>
          <w:sz w:val="24"/>
          <w:szCs w:val="24"/>
        </w:rPr>
      </w:pPr>
      <w:r>
        <w:rPr>
          <w:rFonts w:ascii="Times New Roman" w:hAnsi="Times New Roman"/>
          <w:sz w:val="24"/>
          <w:szCs w:val="24"/>
        </w:rPr>
      </w:r>
    </w:p>
    <w:p>
      <w:pPr>
        <w:pStyle w:val="Normal1"/>
        <w:spacing w:lineRule="auto" w:line="276" w:before="0" w:after="0"/>
        <w:jc w:val="both"/>
        <w:rPr/>
      </w:pPr>
      <w:r>
        <w:rPr>
          <w:rStyle w:val="Policepardfaut"/>
          <w:rFonts w:ascii="Times New Roman" w:hAnsi="Times New Roman"/>
          <w:b/>
          <w:bCs/>
          <w:sz w:val="24"/>
          <w:szCs w:val="24"/>
        </w:rPr>
        <w:t>Une dimension socio-politique</w:t>
      </w:r>
    </w:p>
    <w:p>
      <w:pPr>
        <w:pStyle w:val="Normal1"/>
        <w:spacing w:lineRule="auto" w:line="276" w:before="0" w:after="0"/>
        <w:jc w:val="both"/>
        <w:rPr>
          <w:rFonts w:ascii="Times New Roman" w:hAnsi="Times New Roman"/>
          <w:color w:val="0070C0"/>
          <w:sz w:val="24"/>
          <w:szCs w:val="24"/>
        </w:rPr>
      </w:pPr>
      <w:r>
        <w:rPr>
          <w:rFonts w:ascii="Times New Roman" w:hAnsi="Times New Roman"/>
          <w:color w:val="0070C0"/>
          <w:sz w:val="24"/>
          <w:szCs w:val="24"/>
        </w:rPr>
        <w:t xml:space="preserve"> </w:t>
      </w:r>
    </w:p>
    <w:p>
      <w:pPr>
        <w:pStyle w:val="Normal1"/>
        <w:spacing w:lineRule="auto" w:line="276" w:before="0" w:after="0"/>
        <w:jc w:val="both"/>
        <w:rPr>
          <w:rFonts w:ascii="Times New Roman" w:hAnsi="Times New Roman"/>
          <w:sz w:val="24"/>
          <w:szCs w:val="24"/>
        </w:rPr>
      </w:pPr>
      <w:r>
        <w:rPr>
          <w:rFonts w:ascii="Times New Roman" w:hAnsi="Times New Roman"/>
          <w:sz w:val="24"/>
          <w:szCs w:val="24"/>
        </w:rPr>
        <w:t xml:space="preserve">La région Grand-Est n’est pas épargnée par l’insécurité linguistique car de nombreux allophones y résident et que, selon l’INSEE, deux cent mille personnes relèveraient de l’illettrisme, soit 14 % de la population entre 18 et 65 ans. A ceux-ci s’ajoutent à l’évidence quelques milliers de jeunes (16-18) et de nombreux « séniors » non comptabilisés. Le défi est donc immense et les moyens pas toujours à la hauteur de celui-ci. </w:t>
      </w:r>
    </w:p>
    <w:p>
      <w:pPr>
        <w:pStyle w:val="Normal1"/>
        <w:spacing w:lineRule="auto" w:line="276" w:before="0" w:after="0"/>
        <w:jc w:val="both"/>
        <w:rPr>
          <w:rFonts w:ascii="Times New Roman" w:hAnsi="Times New Roman"/>
          <w:sz w:val="24"/>
          <w:szCs w:val="24"/>
        </w:rPr>
      </w:pPr>
      <w:r>
        <w:rPr>
          <w:rFonts w:ascii="Times New Roman" w:hAnsi="Times New Roman"/>
          <w:sz w:val="24"/>
          <w:szCs w:val="24"/>
        </w:rPr>
        <w:t>Quant au jeu, face à cette problématique sociétale, il est un moyen, parmi d’autres pratiques culturelles et pédagogique, d’œuvrer à une meilleure maîtrise de la langue. En effet, l’espace et le temps ludique sont des vecteurs qui favorisent-selon les propos d’un des intervenants-l’accès à l’oral, à la culture et à la société. J’y ajouterai volontiers l’accès à la conscientisation et parfois même à l’émancipation autorisant à agir dans et sur le monde. Une remarque toutefois s’impose de mon point de vue quant au choix des jeux pour apprendre. Je pense qu’il faut prendre garde aux jeux qui exacerbent l’esprit de compétition au dépend de la coopération ; aux jeux qui perpétuent l’image d’une société qui légitime un monde fait de gagnants et de perdants et non d’égaux. Fort de cette remarque, les jeux issues d’l’Education populaire sont sans doute à privilégier afin qu’ils participent à « un droit universel à la poésie » - donc à l’écriture - évoqué durant le colloque voire à un droit universel à la créativité.</w:t>
      </w:r>
    </w:p>
    <w:p>
      <w:pPr>
        <w:pStyle w:val="Normal1"/>
        <w:spacing w:lineRule="auto" w:line="276" w:before="0" w:after="0"/>
        <w:jc w:val="both"/>
        <w:rPr>
          <w:rFonts w:ascii="Times New Roman" w:hAnsi="Times New Roman"/>
          <w:sz w:val="24"/>
          <w:szCs w:val="24"/>
        </w:rPr>
      </w:pPr>
      <w:r>
        <w:rPr>
          <w:rFonts w:ascii="Times New Roman" w:hAnsi="Times New Roman"/>
          <w:sz w:val="24"/>
          <w:szCs w:val="24"/>
        </w:rPr>
      </w:r>
    </w:p>
    <w:p>
      <w:pPr>
        <w:pStyle w:val="Normal1"/>
        <w:spacing w:lineRule="auto" w:line="276" w:before="0" w:after="0"/>
        <w:jc w:val="both"/>
        <w:rPr/>
      </w:pPr>
      <w:r>
        <w:rPr>
          <w:rStyle w:val="Policepardfaut"/>
          <w:rFonts w:ascii="Times New Roman" w:hAnsi="Times New Roman"/>
          <w:b/>
          <w:bCs/>
          <w:sz w:val="24"/>
          <w:szCs w:val="24"/>
        </w:rPr>
        <w:t>Souffler n’est pas jouer</w:t>
      </w:r>
    </w:p>
    <w:p>
      <w:pPr>
        <w:pStyle w:val="Normal1"/>
        <w:spacing w:lineRule="auto" w:line="276" w:before="0" w:after="0"/>
        <w:jc w:val="both"/>
        <w:rPr>
          <w:rFonts w:ascii="Times New Roman" w:hAnsi="Times New Roman"/>
          <w:sz w:val="24"/>
          <w:szCs w:val="24"/>
        </w:rPr>
      </w:pPr>
      <w:r>
        <w:rPr>
          <w:rFonts w:ascii="Times New Roman" w:hAnsi="Times New Roman"/>
          <w:sz w:val="24"/>
          <w:szCs w:val="24"/>
        </w:rPr>
      </w:r>
    </w:p>
    <w:p>
      <w:pPr>
        <w:pStyle w:val="Normal1"/>
        <w:spacing w:lineRule="auto" w:line="276" w:before="0" w:after="0"/>
        <w:jc w:val="both"/>
        <w:rPr/>
      </w:pPr>
      <w:r>
        <w:rPr>
          <w:rStyle w:val="Policepardfaut"/>
          <w:rFonts w:ascii="Times New Roman" w:hAnsi="Times New Roman"/>
          <w:sz w:val="24"/>
          <w:szCs w:val="24"/>
        </w:rPr>
        <w:t>Et pourtant si, souffler, comme au cœur du jeu de Dames, n’est pas jouer, ce colloque a permis de souffler quelques idées, de pratiques et de réflexions innovantes. Il fut aussi l’occasion de faire le lien entre « </w:t>
      </w:r>
      <w:r>
        <w:rPr>
          <w:rStyle w:val="Policepardfaut"/>
          <w:rFonts w:ascii="Times New Roman" w:hAnsi="Times New Roman"/>
          <w:i/>
          <w:iCs/>
          <w:sz w:val="24"/>
          <w:szCs w:val="24"/>
        </w:rPr>
        <w:t>Jeux, langage et créativité</w:t>
      </w:r>
      <w:r>
        <w:rPr>
          <w:rStyle w:val="Policepardfaut"/>
          <w:rFonts w:ascii="Times New Roman" w:hAnsi="Times New Roman"/>
          <w:sz w:val="24"/>
          <w:szCs w:val="24"/>
        </w:rPr>
        <w:t xml:space="preserve"> </w:t>
      </w:r>
      <w:r>
        <w:rPr>
          <w:rStyle w:val="Appelnotedebasdep"/>
          <w:rStyle w:val="Appelnotedebasdep"/>
          <w:rFonts w:ascii="Times New Roman" w:hAnsi="Times New Roman"/>
          <w:sz w:val="20"/>
          <w:szCs w:val="20"/>
        </w:rPr>
        <w:footnoteReference w:id="3"/>
      </w:r>
      <w:r>
        <w:rPr>
          <w:rStyle w:val="Policepardfaut"/>
          <w:rFonts w:ascii="Times New Roman" w:hAnsi="Times New Roman"/>
          <w:sz w:val="24"/>
          <w:szCs w:val="24"/>
        </w:rPr>
        <w:t xml:space="preserve"> » et de montrer la complémentarité de ces trois termes et leur dynamique vertueuse. Néanmoins, si, le jeu peut être considéré à juste titre par des observations empiriques, comme un outil d’apprentissage, il faut garder à l’esprit que la question du « comment on apprend dans et par le jeu » reste une question de recherche encore à travailler largement malgré quelques travaux récents. </w:t>
      </w:r>
    </w:p>
    <w:p>
      <w:pPr>
        <w:pStyle w:val="Normal1"/>
        <w:spacing w:lineRule="auto" w:line="276" w:before="0" w:after="0"/>
        <w:jc w:val="both"/>
        <w:rPr>
          <w:rFonts w:ascii="Times New Roman" w:hAnsi="Times New Roman"/>
          <w:sz w:val="24"/>
          <w:szCs w:val="24"/>
        </w:rPr>
      </w:pPr>
      <w:r>
        <w:rPr>
          <w:rFonts w:ascii="Times New Roman" w:hAnsi="Times New Roman"/>
          <w:sz w:val="24"/>
          <w:szCs w:val="24"/>
        </w:rPr>
        <w:t xml:space="preserve">Au reste, les praticiens du jeu pour apprendre se doivent de veiller à ce que la dynamique du jeu ne prenne pas le pas sur l’apprentissage afin qu’il demeure un outil didactique et non un simple divertissement. En effet, la dynamique du jeu et les passions qu’il peut entraîner nuisent parfois aux objectifs pour lesquels il avait été proposé. Reste une question en creux que le colloque de 2021 n’a pas abordée : peut-on parfois désapprendre par le jeu ? </w:t>
      </w:r>
    </w:p>
    <w:p>
      <w:pPr>
        <w:pStyle w:val="Normal1"/>
        <w:spacing w:lineRule="auto" w:line="276" w:before="0" w:after="0"/>
        <w:jc w:val="both"/>
        <w:rPr>
          <w:rFonts w:ascii="Times New Roman" w:hAnsi="Times New Roman"/>
          <w:sz w:val="24"/>
          <w:szCs w:val="24"/>
        </w:rPr>
      </w:pPr>
      <w:r>
        <w:rPr>
          <w:rFonts w:ascii="Times New Roman" w:hAnsi="Times New Roman"/>
          <w:sz w:val="24"/>
          <w:szCs w:val="24"/>
        </w:rPr>
        <w:t>Au demeurant « jouer et apprendre », « apprendre et jouer » sont apparus comme des activités à fort potentiels tant en matière de savoirs langagiers acquis que de modalités de socialisation et de partage,  voire comme un levier essentiel aux apprentissages. Elles permettent bien souvent aux apprenants engagés de « dire JE dans le JEU » et de participer par l’éducation, comme le préconisait Heinrich Pestalozzi, à « faire œuvre de soi-même ».</w:t>
      </w:r>
    </w:p>
    <w:p>
      <w:pPr>
        <w:pStyle w:val="Normal1"/>
        <w:spacing w:lineRule="auto" w:line="276" w:before="0" w:after="0"/>
        <w:jc w:val="both"/>
        <w:rPr>
          <w:rFonts w:ascii="Times New Roman" w:hAnsi="Times New Roman"/>
          <w:sz w:val="24"/>
          <w:szCs w:val="24"/>
        </w:rPr>
      </w:pPr>
      <w:r>
        <w:rPr>
          <w:rFonts w:ascii="Times New Roman" w:hAnsi="Times New Roman"/>
          <w:sz w:val="24"/>
          <w:szCs w:val="24"/>
        </w:rPr>
      </w:r>
    </w:p>
    <w:p>
      <w:pPr>
        <w:pStyle w:val="Normal1"/>
        <w:spacing w:lineRule="auto" w:line="276" w:before="0" w:after="0"/>
        <w:jc w:val="both"/>
        <w:rPr>
          <w:rFonts w:ascii="Times New Roman" w:hAnsi="Times New Roman"/>
          <w:sz w:val="24"/>
          <w:szCs w:val="24"/>
        </w:rPr>
      </w:pPr>
      <w:r>
        <w:rPr>
          <w:rFonts w:ascii="Times New Roman" w:hAnsi="Times New Roman"/>
          <w:sz w:val="24"/>
          <w:szCs w:val="24"/>
        </w:rPr>
        <w:t xml:space="preserve"> </w:t>
      </w:r>
    </w:p>
    <w:p>
      <w:pPr>
        <w:pStyle w:val="Normal1"/>
        <w:spacing w:lineRule="auto" w:line="276" w:before="0" w:after="0"/>
        <w:jc w:val="both"/>
        <w:rPr>
          <w:rFonts w:ascii="Times New Roman" w:hAnsi="Times New Roman"/>
          <w:sz w:val="24"/>
          <w:szCs w:val="24"/>
        </w:rPr>
      </w:pPr>
      <w:r>
        <w:rPr>
          <w:rFonts w:ascii="Times New Roman" w:hAnsi="Times New Roman"/>
          <w:sz w:val="24"/>
          <w:szCs w:val="24"/>
        </w:rPr>
        <w:t xml:space="preserve"> </w:t>
      </w:r>
    </w:p>
    <w:p>
      <w:pPr>
        <w:pStyle w:val="Normal1"/>
        <w:spacing w:lineRule="auto" w:line="276" w:before="0" w:after="0"/>
        <w:jc w:val="both"/>
        <w:rPr>
          <w:rFonts w:ascii="Times New Roman" w:hAnsi="Times New Roman"/>
          <w:sz w:val="24"/>
          <w:szCs w:val="24"/>
        </w:rPr>
      </w:pPr>
      <w:r>
        <w:rPr>
          <w:rFonts w:ascii="Times New Roman" w:hAnsi="Times New Roman"/>
          <w:sz w:val="24"/>
          <w:szCs w:val="24"/>
        </w:rPr>
      </w:r>
    </w:p>
    <w:p>
      <w:pPr>
        <w:pStyle w:val="Normal1"/>
        <w:spacing w:lineRule="auto" w:line="276" w:before="0" w:after="0"/>
        <w:jc w:val="both"/>
        <w:rPr>
          <w:rFonts w:ascii="Times New Roman" w:hAnsi="Times New Roman"/>
          <w:b/>
          <w:b/>
          <w:bCs/>
          <w:sz w:val="24"/>
          <w:szCs w:val="24"/>
        </w:rPr>
      </w:pPr>
      <w:r>
        <w:rPr>
          <w:rFonts w:ascii="Times New Roman" w:hAnsi="Times New Roman"/>
          <w:b/>
          <w:bCs/>
          <w:sz w:val="24"/>
          <w:szCs w:val="24"/>
        </w:rPr>
      </w:r>
    </w:p>
    <w:p>
      <w:pPr>
        <w:pStyle w:val="Normal1"/>
        <w:spacing w:lineRule="auto" w:line="276" w:before="0" w:after="0"/>
        <w:jc w:val="both"/>
        <w:rPr>
          <w:rFonts w:ascii="Times New Roman" w:hAnsi="Times New Roman"/>
          <w:sz w:val="24"/>
          <w:szCs w:val="24"/>
        </w:rPr>
      </w:pPr>
      <w:r>
        <w:rPr>
          <w:rFonts w:ascii="Times New Roman" w:hAnsi="Times New Roman"/>
          <w:sz w:val="24"/>
          <w:szCs w:val="24"/>
        </w:rPr>
      </w:r>
    </w:p>
    <w:p>
      <w:pPr>
        <w:pStyle w:val="Normal1"/>
        <w:spacing w:lineRule="auto" w:line="276" w:before="0" w:after="0"/>
        <w:jc w:val="both"/>
        <w:rPr>
          <w:rFonts w:ascii="Times New Roman" w:hAnsi="Times New Roman"/>
          <w:sz w:val="24"/>
          <w:szCs w:val="24"/>
        </w:rPr>
      </w:pPr>
      <w:r>
        <w:rPr>
          <w:rFonts w:ascii="Times New Roman" w:hAnsi="Times New Roman"/>
          <w:sz w:val="24"/>
          <w:szCs w:val="24"/>
        </w:rPr>
      </w:r>
    </w:p>
    <w:p>
      <w:pPr>
        <w:pStyle w:val="Normal1"/>
        <w:spacing w:lineRule="auto" w:line="276" w:before="0" w:after="0"/>
        <w:jc w:val="both"/>
        <w:rPr>
          <w:rFonts w:ascii="Times New Roman" w:hAnsi="Times New Roman"/>
          <w:sz w:val="24"/>
          <w:szCs w:val="24"/>
        </w:rPr>
      </w:pPr>
      <w:r>
        <w:rPr>
          <w:rFonts w:ascii="Times New Roman" w:hAnsi="Times New Roman"/>
          <w:sz w:val="24"/>
          <w:szCs w:val="24"/>
        </w:rPr>
      </w:r>
    </w:p>
    <w:p>
      <w:pPr>
        <w:pStyle w:val="Normal1"/>
        <w:spacing w:lineRule="auto" w:line="276" w:before="0" w:after="0"/>
        <w:jc w:val="both"/>
        <w:rPr>
          <w:rFonts w:ascii="Times New Roman" w:hAnsi="Times New Roman"/>
          <w:sz w:val="24"/>
          <w:szCs w:val="24"/>
        </w:rPr>
      </w:pPr>
      <w:r>
        <w:rPr>
          <w:rFonts w:ascii="Times New Roman" w:hAnsi="Times New Roman"/>
          <w:sz w:val="24"/>
          <w:szCs w:val="24"/>
        </w:rPr>
      </w:r>
    </w:p>
    <w:p>
      <w:pPr>
        <w:pStyle w:val="Normal1"/>
        <w:spacing w:lineRule="auto" w:line="276" w:before="0" w:after="0"/>
        <w:jc w:val="both"/>
        <w:rPr>
          <w:rFonts w:ascii="Times New Roman" w:hAnsi="Times New Roman"/>
          <w:sz w:val="24"/>
          <w:szCs w:val="24"/>
        </w:rPr>
      </w:pPr>
      <w:r>
        <w:rPr>
          <w:rFonts w:ascii="Times New Roman" w:hAnsi="Times New Roman"/>
          <w:sz w:val="24"/>
          <w:szCs w:val="24"/>
        </w:rPr>
      </w:r>
    </w:p>
    <w:p>
      <w:pPr>
        <w:pStyle w:val="Normal1"/>
        <w:spacing w:lineRule="auto" w:line="276" w:before="0" w:after="0"/>
        <w:jc w:val="both"/>
        <w:rPr>
          <w:rFonts w:ascii="Times New Roman" w:hAnsi="Times New Roman"/>
          <w:sz w:val="24"/>
          <w:szCs w:val="24"/>
        </w:rPr>
      </w:pPr>
      <w:r>
        <w:rPr>
          <w:rFonts w:ascii="Times New Roman" w:hAnsi="Times New Roman"/>
          <w:sz w:val="24"/>
          <w:szCs w:val="24"/>
        </w:rPr>
      </w:r>
    </w:p>
    <w:p>
      <w:pPr>
        <w:pStyle w:val="Normal1"/>
        <w:spacing w:lineRule="auto" w:line="276" w:before="0" w:after="0"/>
        <w:jc w:val="both"/>
        <w:rPr/>
      </w:pPr>
      <w:r>
        <w:rPr>
          <w:rStyle w:val="Policepardfaut"/>
          <w:rFonts w:ascii="Times New Roman" w:hAnsi="Times New Roman"/>
          <w:sz w:val="24"/>
          <w:szCs w:val="24"/>
        </w:rPr>
        <w:t xml:space="preserve"> </w:t>
      </w:r>
    </w:p>
    <w:sectPr>
      <w:footnotePr>
        <w:numFmt w:val="decimal"/>
      </w:footnotePr>
      <w:type w:val="nextPage"/>
      <w:pgSz w:w="11906" w:h="16838"/>
      <w:pgMar w:left="1417" w:right="1417" w:gutter="0" w:header="0" w:top="1417" w:footer="0" w:bottom="141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Times New Roman">
    <w:charset w:val="01"/>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Notedebasdepage"/>
        <w:rPr/>
      </w:pPr>
      <w:r>
        <w:rPr>
          <w:rStyle w:val="Caractresdenotedebasdepage"/>
        </w:rPr>
        <w:footnoteRef/>
      </w:r>
      <w:r>
        <w:rPr>
          <w:rStyle w:val="Policepardfaut"/>
          <w:rFonts w:ascii="Times New Roman" w:hAnsi="Times New Roman"/>
        </w:rPr>
        <w:t xml:space="preserve"> </w:t>
      </w:r>
      <w:r>
        <w:rPr>
          <w:rStyle w:val="Policepardfaut"/>
          <w:rFonts w:ascii="Times New Roman" w:hAnsi="Times New Roman"/>
        </w:rPr>
        <w:t>Tous les propos entre guillemets furent tenus lors de ce colloque, les intervenants sans aucun doute s’y reconnaîtront. Merci à eux de me prêter leur voix-voies.</w:t>
      </w:r>
    </w:p>
  </w:footnote>
  <w:footnote w:id="3">
    <w:p>
      <w:pPr>
        <w:pStyle w:val="Notedebasdepage"/>
        <w:rPr/>
      </w:pPr>
      <w:r>
        <w:rPr>
          <w:rStyle w:val="Caractresdenotedebasdepage"/>
        </w:rPr>
        <w:footnoteRef/>
      </w:r>
      <w:r>
        <w:rPr>
          <w:rStyle w:val="Policepardfaut"/>
          <w:rFonts w:ascii="Times New Roman" w:hAnsi="Times New Roman"/>
        </w:rPr>
        <w:t xml:space="preserve"> </w:t>
      </w:r>
      <w:r>
        <w:rPr>
          <w:rStyle w:val="Policepardfaut"/>
          <w:rFonts w:ascii="Times New Roman" w:hAnsi="Times New Roman"/>
        </w:rPr>
        <w:t>Titre de l’ouvrage de J.-M. Caré et F. Debyser édité par le BELC, il y a plus de 30 ans.</w:t>
      </w:r>
    </w:p>
  </w:footnote>
</w:footnotes>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fr-FR" w:eastAsia="en-US" w:bidi="ar-SA"/>
      </w:rPr>
    </w:rPrDefault>
    <w:pPrDefault>
      <w:pPr>
        <w:widowControl/>
        <w:suppressAutoHyphens w:val="fals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before="0" w:after="160"/>
      <w:jc w:val="left"/>
      <w:textAlignment w:val="auto"/>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2"/>
      <w:u w:val="none"/>
      <w:shd w:fill="auto" w:val="clear"/>
      <w:vertAlign w:val="baseline"/>
      <w:em w:val="none"/>
      <w:lang w:val="fr-FR" w:eastAsia="en-US" w:bidi="ar-SA"/>
    </w:rPr>
  </w:style>
  <w:style w:type="character" w:styleId="Policepardfaut">
    <w:name w:val="Police par défaut"/>
    <w:qFormat/>
    <w:rPr/>
  </w:style>
  <w:style w:type="character" w:styleId="NotedebasdepageCar">
    <w:name w:val="Note de bas de page Car"/>
    <w:basedOn w:val="Policepardfaut"/>
    <w:qFormat/>
    <w:rPr>
      <w:sz w:val="20"/>
      <w:szCs w:val="20"/>
    </w:rPr>
  </w:style>
  <w:style w:type="character" w:styleId="Appelnotedebasdep">
    <w:name w:val="Appel note de bas de p."/>
    <w:basedOn w:val="Policepardfaut"/>
    <w:rPr>
      <w:vertAlign w:val="superscript"/>
    </w:rPr>
  </w:style>
  <w:style w:type="character" w:styleId="Ancredenotedebasdepage">
    <w:name w:val="Ancre de note de bas de page"/>
    <w:qFormat/>
    <w:rPr>
      <w:vertAlign w:val="superscript"/>
    </w:rPr>
  </w:style>
  <w:style w:type="character" w:styleId="Caractresdenotedebasdepage">
    <w:name w:val="Caractères de note de bas de page"/>
    <w:qFormat/>
    <w:rPr/>
  </w:style>
  <w:style w:type="character" w:styleId="Ancredenotedefin">
    <w:name w:val="Ancre de note de fin"/>
    <w:rPr>
      <w:vertAlign w:val="superscript"/>
    </w:rPr>
  </w:style>
  <w:style w:type="character" w:styleId="Caractresdenotedefin">
    <w:name w:val="Caractères de note de fin"/>
    <w:qFormat/>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160"/>
      <w:jc w:val="left"/>
      <w:textAlignment w:val="auto"/>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2"/>
      <w:u w:val="none"/>
      <w:shd w:fill="auto" w:val="clear"/>
      <w:vertAlign w:val="baseline"/>
      <w:em w:val="none"/>
      <w:lang w:val="fr-FR" w:eastAsia="en-US" w:bidi="ar-SA"/>
    </w:rPr>
  </w:style>
  <w:style w:type="paragraph" w:styleId="Notedebasdepage">
    <w:name w:val="Footnote Text"/>
    <w:basedOn w:val="Normal1"/>
    <w:pPr>
      <w:suppressAutoHyphens w:val="true"/>
      <w:spacing w:lineRule="auto" w:line="240" w:before="0" w:after="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252</TotalTime>
  <Application>LibreOffice/7.2.5.2$Linux_X86_64 LibreOffice_project/20$Build-2</Application>
  <AppVersion>15.0000</AppVersion>
  <Pages>4</Pages>
  <Words>1714</Words>
  <Characters>9429</Characters>
  <CharactersWithSpaces>11121</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2021-10-11T07:09:00Z</dcterms:created>
  <dc:creator>Hugues Lenoir</dc:creator>
  <dc:description/>
  <dc:language>fr-FR</dc:language>
  <cp:lastModifiedBy>Hugues</cp:lastModifiedBy>
  <dcterms:modified xsi:type="dcterms:W3CDTF">2022-01-30T13:32:00Z</dcterms:modified>
  <cp:revision>20</cp:revision>
  <dc:subject/>
  <dc:title/>
</cp:coreProperties>
</file>